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344103" cy="945587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4103" cy="94558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before="0" w:lineRule="auto"/>
        <w:ind w:left="0" w:firstLine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Отдых в чистоте: правила обращения с ТКО на природе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  <w:t xml:space="preserve">16.07.2024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Отдыхать в чистых местах на природе любит каждый, и от каждого из нас зависит поддержание порядка и красоты туристических мест. 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поддержать чистоту туристу?</w:t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  <w:t xml:space="preserve">Если вы отдыхаете в палатках, на пляже или отправились в поход - весь накопившийся мусор необходимо забирать с собой и выбрасывать на ближайшую доступную контейнерную площадку. Однако, если вы видите, что контейнеры уже переполнены, рекомендуем отвезти мусор до другой доступной площадки, а не складировать его на землю. 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t xml:space="preserve">Если же вы остановились на турбазе или в гостинице, то отходы необходимо выбрасывать в урны или контейнеры на территории объекта.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поддержать чистоту собственникам земельных участков туристических мест?</w:t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Турбазам и подобным организациям необходимо устанавливать собственные контейнерные площадки для своих постояльцев и обязательно подавать о них данные регоператору для верификации. 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  <w:t xml:space="preserve">Органам МСУ в туристических местах необходимо предусматривать количество контейнеров, рассчитанное на туристический поток. Это может быть как установка контейнеров на постоянной, так и на временной основе. Возможно также устанавливать отдельные контейнеры в период проведения масштабных мероприятий на природе.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Региональный оператор </w:t>
      </w:r>
      <w:r w:rsidDel="00000000" w:rsidR="00000000" w:rsidRPr="00000000">
        <w:rPr>
          <w:rtl w:val="0"/>
        </w:rPr>
        <w:t xml:space="preserve">в летний период вывозит ТКО ежедневно. Отметим, что</w:t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региональные оператор вывозит только ТКО и КГО. Содержание КП (уборка, дератизация, ремонт и установка контейнеров и т.п.) - ответственность собственников контейнерных площадок. </w:t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  <w:t xml:space="preserve">Прочитать правила обращения с отходами, а также скачать памятки вы можете на нашем сайте по ссылке: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rtneo-irk.ru/news/pamyatka-dlya-zhiteley-po-obrashcheniyu-s-tverdymi-kommunalnymi-otkhodami-tko/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ООО “РТ-НЭО Иркутск”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предоставляет услуги сбора, транспортирования, размещения, утилизации и переработки твердых коммунальных отходов (ТКО) на территории Зоны 2 «Юг» Иркутской области. Статус регионального оператора компания получила по результатам конкурсного отбора, по итогам которого было заключено соглашение  с Министерством жилищной политики, энергетики и транспорта Иркутской области от 28.04.2018 г. № 318 “Об организации деятельности по обращению с твердыми коммунальными отходами на территории Иркутской области (Зона 2)”.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9" w:w="11907" w:orient="portrait"/>
      <w:pgMar w:bottom="709" w:top="850.3937007874016" w:left="1559.0551181102362" w:right="712.204724409448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ind w:hanging="1"/>
    </w:pPr>
    <w:rPr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rtneo-irk.ru/news/pamyatka-dlya-zhiteley-po-obrashcheniyu-s-tverdymi-kommunalnymi-otkhodami-tko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